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9625A" w14:textId="77777777" w:rsidR="00DC68DB" w:rsidRDefault="00DC68DB" w:rsidP="007A73C1">
      <w:pPr>
        <w:ind w:left="1418" w:hanging="1418"/>
        <w:rPr>
          <w:rFonts w:ascii="Oswald Medium" w:eastAsia="Oswald" w:hAnsi="Oswald Medium" w:cs="Oswald"/>
          <w:caps/>
          <w:color w:val="00548E"/>
          <w:sz w:val="48"/>
          <w:szCs w:val="48"/>
        </w:rPr>
      </w:pPr>
    </w:p>
    <w:p w14:paraId="5F88DB12" w14:textId="6CDD9C46" w:rsidR="0014559B" w:rsidRPr="0014559B" w:rsidRDefault="0014559B" w:rsidP="0014559B">
      <w:pPr>
        <w:pStyle w:val="Heading1"/>
        <w:spacing w:before="0"/>
        <w:rPr>
          <w:rFonts w:ascii="Arial Narrow" w:hAnsi="Arial Narrow" w:cs="Arial"/>
          <w:b w:val="0"/>
          <w:bCs w:val="0"/>
          <w:caps/>
          <w:color w:val="45BFF2"/>
          <w:spacing w:val="-10"/>
          <w:kern w:val="28"/>
          <w:sz w:val="32"/>
        </w:rPr>
      </w:pPr>
      <w:r w:rsidRPr="002E35AC">
        <w:rPr>
          <w:rFonts w:ascii="Arial Narrow" w:hAnsi="Arial Narrow" w:cs="Arial"/>
          <w:b w:val="0"/>
          <w:bCs w:val="0"/>
          <w:caps/>
          <w:color w:val="45BFF2"/>
          <w:spacing w:val="-10"/>
          <w:kern w:val="28"/>
          <w:sz w:val="32"/>
        </w:rPr>
        <w:t>Appendix 8.</w:t>
      </w:r>
      <w:r>
        <w:rPr>
          <w:rFonts w:ascii="Arial Narrow" w:hAnsi="Arial Narrow" w:cs="Arial"/>
          <w:b w:val="0"/>
          <w:bCs w:val="0"/>
          <w:caps/>
          <w:color w:val="45BFF2"/>
          <w:spacing w:val="-10"/>
          <w:kern w:val="28"/>
          <w:sz w:val="32"/>
        </w:rPr>
        <w:t>7</w:t>
      </w:r>
    </w:p>
    <w:p w14:paraId="0789B3D4" w14:textId="60EF8331" w:rsidR="007A73C1" w:rsidRPr="0014559B" w:rsidRDefault="007A73C1" w:rsidP="002C3C62">
      <w:pPr>
        <w:rPr>
          <w:rFonts w:ascii="Oswald Medium" w:eastAsia="Oswald" w:hAnsi="Oswald Medium" w:cs="Oswald"/>
          <w:caps/>
          <w:color w:val="00548E"/>
          <w:sz w:val="36"/>
          <w:szCs w:val="36"/>
        </w:rPr>
      </w:pPr>
      <w:r w:rsidRPr="0014559B">
        <w:rPr>
          <w:rFonts w:ascii="Oswald Medium" w:eastAsia="Oswald" w:hAnsi="Oswald Medium" w:cs="Oswald"/>
          <w:caps/>
          <w:color w:val="00548E"/>
          <w:sz w:val="36"/>
          <w:szCs w:val="36"/>
        </w:rPr>
        <w:t xml:space="preserve">Disclaimer of Opinion due to the Auditor’s inability to obtain sufficient appropriate audit evidence due to accounting records being destroyed by fire (ISSAI </w:t>
      </w:r>
      <w:r w:rsidR="004447D0" w:rsidRPr="0014559B">
        <w:rPr>
          <w:rFonts w:ascii="Oswald Medium" w:eastAsia="Oswald" w:hAnsi="Oswald Medium" w:cs="Oswald"/>
          <w:caps/>
          <w:color w:val="00548E"/>
          <w:sz w:val="36"/>
          <w:szCs w:val="36"/>
        </w:rPr>
        <w:t>2</w:t>
      </w:r>
      <w:r w:rsidRPr="0014559B">
        <w:rPr>
          <w:rFonts w:ascii="Oswald Medium" w:eastAsia="Oswald" w:hAnsi="Oswald Medium" w:cs="Oswald"/>
          <w:caps/>
          <w:color w:val="00548E"/>
          <w:sz w:val="36"/>
          <w:szCs w:val="36"/>
        </w:rPr>
        <w:t>705)</w:t>
      </w:r>
    </w:p>
    <w:p w14:paraId="48C4845D" w14:textId="77777777" w:rsidR="007A73C1" w:rsidRPr="007C4BAB" w:rsidRDefault="007A73C1" w:rsidP="007A73C1">
      <w:pPr>
        <w:rPr>
          <w:rFonts w:cstheme="minorHAnsi"/>
          <w:sz w:val="21"/>
          <w:szCs w:val="21"/>
        </w:rPr>
      </w:pPr>
    </w:p>
    <w:tbl>
      <w:tblPr>
        <w:tblStyle w:val="TableGrid"/>
        <w:tblW w:w="0" w:type="auto"/>
        <w:tblLook w:val="04A0" w:firstRow="1" w:lastRow="0" w:firstColumn="1" w:lastColumn="0" w:noHBand="0" w:noVBand="1"/>
      </w:tblPr>
      <w:tblGrid>
        <w:gridCol w:w="9016"/>
      </w:tblGrid>
      <w:tr w:rsidR="007A73C1" w14:paraId="7319C8EA" w14:textId="77777777" w:rsidTr="00AF5F47">
        <w:tc>
          <w:tcPr>
            <w:tcW w:w="9016" w:type="dxa"/>
          </w:tcPr>
          <w:p w14:paraId="3616AE0A" w14:textId="77777777" w:rsidR="007A73C1" w:rsidRPr="00DC68DB" w:rsidRDefault="007A73C1" w:rsidP="00AF5F47">
            <w:pPr>
              <w:spacing w:before="70" w:line="250" w:lineRule="auto"/>
              <w:ind w:right="164"/>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For purposes of this illustrative auditor’s report, the following circumstances are assumed:</w:t>
            </w:r>
          </w:p>
          <w:p w14:paraId="1F1F8FB3" w14:textId="3497B82E" w:rsidR="007A73C1" w:rsidRPr="00DC68DB" w:rsidRDefault="007A73C1"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t xml:space="preserve">Audit of a complete set of financial statements of a government entity using a fair presentation framework. The audit is not an audit of consolidated financial statements of the government (i.e., ISSAI </w:t>
            </w:r>
            <w:r w:rsidR="004447D0" w:rsidRPr="00DC68DB">
              <w:rPr>
                <w:rFonts w:ascii="Aptos" w:eastAsia="Times New Roman" w:hAnsi="Aptos" w:cs="Tahoma"/>
                <w:color w:val="44546A" w:themeColor="text2"/>
                <w:sz w:val="20"/>
                <w:szCs w:val="20"/>
                <w:lang w:val="en-GB"/>
              </w:rPr>
              <w:t>2</w:t>
            </w:r>
            <w:r w:rsidRPr="00DC68DB">
              <w:rPr>
                <w:rFonts w:ascii="Aptos" w:eastAsia="Times New Roman" w:hAnsi="Aptos" w:cs="Tahoma"/>
                <w:color w:val="44546A" w:themeColor="text2"/>
                <w:sz w:val="20"/>
                <w:szCs w:val="20"/>
                <w:lang w:val="en-GB"/>
              </w:rPr>
              <w:t>600 does not apply).</w:t>
            </w:r>
          </w:p>
          <w:p w14:paraId="18D8863E" w14:textId="77777777" w:rsidR="007A73C1" w:rsidRPr="00DC68DB" w:rsidRDefault="007A73C1"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t>The financial statements are prepared by management of the entity in accordance with IPSASs (a general-purpose framework).</w:t>
            </w:r>
          </w:p>
          <w:p w14:paraId="45A2C58D" w14:textId="7E3DB23C" w:rsidR="007A73C1" w:rsidRPr="00DC68DB" w:rsidRDefault="007A73C1"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t>The   terms   of the audit engagement reflect the description of management’s responsibility for the financial statements in ISSAI</w:t>
            </w:r>
            <w:r w:rsidR="004447D0" w:rsidRPr="00DC68DB">
              <w:rPr>
                <w:rFonts w:ascii="Aptos" w:eastAsia="Times New Roman" w:hAnsi="Aptos" w:cs="Tahoma"/>
                <w:color w:val="44546A" w:themeColor="text2"/>
                <w:sz w:val="20"/>
                <w:szCs w:val="20"/>
                <w:lang w:val="en-GB"/>
              </w:rPr>
              <w:t xml:space="preserve"> 2</w:t>
            </w:r>
            <w:r w:rsidRPr="00DC68DB">
              <w:rPr>
                <w:rFonts w:ascii="Aptos" w:eastAsia="Times New Roman" w:hAnsi="Aptos" w:cs="Tahoma"/>
                <w:color w:val="44546A" w:themeColor="text2"/>
                <w:sz w:val="20"/>
                <w:szCs w:val="20"/>
                <w:lang w:val="en-GB"/>
              </w:rPr>
              <w:t>210.</w:t>
            </w:r>
          </w:p>
          <w:p w14:paraId="10818193" w14:textId="77777777" w:rsidR="007A73C1" w:rsidRPr="00DC68DB" w:rsidRDefault="007A73C1" w:rsidP="00943C43">
            <w:pPr>
              <w:pStyle w:val="ListParagraph"/>
              <w:widowControl w:val="0"/>
              <w:numPr>
                <w:ilvl w:val="0"/>
                <w:numId w:val="1"/>
              </w:numPr>
              <w:tabs>
                <w:tab w:val="left" w:pos="738"/>
              </w:tabs>
              <w:spacing w:before="46" w:line="245" w:lineRule="auto"/>
              <w:ind w:left="738" w:right="162" w:hanging="56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 xml:space="preserve">The auditor was unable to obtain sufficient appropriate audit evidence due to accounting records destroyed by a recent fire accident. The possible effects of this inability to obtain sufficient appropriate audit evidence are deemed to be both material and pervasive to the financial statements (i.e., a disclaimer of opinion is appropriate). </w:t>
            </w:r>
          </w:p>
          <w:p w14:paraId="5354A597" w14:textId="77777777" w:rsidR="007A73C1" w:rsidRPr="00DC68DB" w:rsidRDefault="007A73C1"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71616CBE" w14:textId="77777777" w:rsidR="007A73C1" w:rsidRPr="00DC68DB" w:rsidRDefault="007A73C1" w:rsidP="00AF5F47">
            <w:pPr>
              <w:tabs>
                <w:tab w:val="left" w:pos="660"/>
              </w:tabs>
              <w:spacing w:before="43" w:line="248" w:lineRule="auto"/>
              <w:ind w:left="673" w:right="165" w:hanging="547"/>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r>
            <w:r w:rsidRPr="00DC68DB">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41959B87" w14:textId="77777777" w:rsidR="007A73C1" w:rsidRPr="00DC68DB" w:rsidRDefault="007A73C1" w:rsidP="00943C43">
            <w:pPr>
              <w:pStyle w:val="ListParagraph"/>
              <w:widowControl w:val="0"/>
              <w:numPr>
                <w:ilvl w:val="0"/>
                <w:numId w:val="1"/>
              </w:numPr>
              <w:tabs>
                <w:tab w:val="left" w:pos="171"/>
              </w:tabs>
              <w:spacing w:before="43" w:line="248" w:lineRule="auto"/>
              <w:ind w:left="596" w:right="165" w:hanging="425"/>
              <w:jc w:val="both"/>
              <w:rPr>
                <w:rFonts w:ascii="Aptos" w:eastAsia="Times New Roman" w:hAnsi="Aptos" w:cs="Tahoma"/>
                <w:color w:val="44546A" w:themeColor="text2"/>
                <w:sz w:val="20"/>
                <w:szCs w:val="20"/>
                <w:lang w:val="en-GB"/>
              </w:rPr>
            </w:pPr>
            <w:r w:rsidRPr="00DC68DB">
              <w:rPr>
                <w:rFonts w:ascii="Aptos" w:eastAsia="Times New Roman" w:hAnsi="Aptos" w:cs="Tahoma"/>
                <w:color w:val="44546A" w:themeColor="text2"/>
                <w:sz w:val="20"/>
                <w:szCs w:val="20"/>
                <w:lang w:val="en-GB"/>
              </w:rPr>
              <w:t>A more limited description of the auditor’s responsibilities section is required.</w:t>
            </w:r>
          </w:p>
          <w:p w14:paraId="237C501A" w14:textId="77777777" w:rsidR="007A73C1" w:rsidRPr="00FE4827" w:rsidRDefault="007A73C1" w:rsidP="00AF5F47">
            <w:pPr>
              <w:tabs>
                <w:tab w:val="left" w:pos="660"/>
              </w:tabs>
              <w:spacing w:before="46" w:line="245" w:lineRule="auto"/>
              <w:ind w:left="673" w:right="163" w:hanging="547"/>
              <w:jc w:val="both"/>
              <w:rPr>
                <w:rFonts w:eastAsia="Times New Roman" w:cstheme="minorHAnsi"/>
                <w:sz w:val="21"/>
                <w:szCs w:val="21"/>
              </w:rPr>
            </w:pPr>
            <w:r w:rsidRPr="00DC68DB">
              <w:rPr>
                <w:rFonts w:ascii="Aptos" w:eastAsia="Times New Roman" w:hAnsi="Aptos" w:cs="Tahoma"/>
                <w:color w:val="44546A" w:themeColor="text2"/>
                <w:sz w:val="20"/>
                <w:szCs w:val="20"/>
                <w:lang w:val="en-GB"/>
              </w:rPr>
              <w:t>•</w:t>
            </w:r>
            <w:r w:rsidRPr="00DC68DB">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tc>
      </w:tr>
    </w:tbl>
    <w:p w14:paraId="3F3DA02F" w14:textId="77777777" w:rsidR="007A73C1" w:rsidRPr="007C4BAB" w:rsidRDefault="007A73C1" w:rsidP="007A73C1">
      <w:pPr>
        <w:jc w:val="both"/>
        <w:rPr>
          <w:rFonts w:cstheme="minorHAnsi"/>
          <w:sz w:val="21"/>
          <w:szCs w:val="21"/>
        </w:rPr>
        <w:sectPr w:rsidR="007A73C1" w:rsidRPr="007C4BAB" w:rsidSect="00543453">
          <w:headerReference w:type="default" r:id="rId10"/>
          <w:footerReference w:type="default" r:id="rId11"/>
          <w:pgSz w:w="11906" w:h="16838" w:code="9"/>
          <w:pgMar w:top="1440" w:right="1440" w:bottom="1440" w:left="1440" w:header="352" w:footer="688" w:gutter="0"/>
          <w:cols w:space="720"/>
        </w:sectPr>
      </w:pPr>
    </w:p>
    <w:p w14:paraId="40982712" w14:textId="77777777" w:rsidR="002C3C62" w:rsidRDefault="002C3C62" w:rsidP="007A73C1">
      <w:pPr>
        <w:spacing w:before="29"/>
        <w:ind w:right="2691"/>
        <w:jc w:val="both"/>
        <w:rPr>
          <w:rFonts w:eastAsia="Times New Roman" w:cstheme="minorHAnsi"/>
          <w:b/>
          <w:bCs/>
          <w:sz w:val="21"/>
          <w:szCs w:val="21"/>
        </w:rPr>
      </w:pPr>
    </w:p>
    <w:p w14:paraId="3A37098F" w14:textId="3743D6E7" w:rsidR="007A73C1" w:rsidRPr="007C4BAB" w:rsidRDefault="007A73C1" w:rsidP="0014559B">
      <w:pPr>
        <w:tabs>
          <w:tab w:val="left" w:pos="7650"/>
          <w:tab w:val="left" w:pos="8100"/>
          <w:tab w:val="left" w:pos="9180"/>
        </w:tabs>
        <w:spacing w:before="29"/>
        <w:jc w:val="both"/>
        <w:rPr>
          <w:rFonts w:eastAsia="Times New Roman" w:cstheme="minorHAnsi"/>
          <w:sz w:val="21"/>
          <w:szCs w:val="21"/>
        </w:rPr>
      </w:pPr>
      <w:r w:rsidRPr="007C4BAB">
        <w:rPr>
          <w:rFonts w:eastAsia="Times New Roman" w:cstheme="minorHAnsi"/>
          <w:b/>
          <w:bCs/>
          <w:sz w:val="21"/>
          <w:szCs w:val="21"/>
        </w:rPr>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6C768EA9" w14:textId="77777777" w:rsidR="007A73C1" w:rsidRPr="007C4BAB" w:rsidRDefault="007A73C1" w:rsidP="0014559B">
      <w:pPr>
        <w:tabs>
          <w:tab w:val="left" w:pos="7650"/>
          <w:tab w:val="left" w:pos="8100"/>
          <w:tab w:val="left" w:pos="9180"/>
        </w:tabs>
        <w:spacing w:before="1" w:line="120" w:lineRule="exact"/>
        <w:rPr>
          <w:rFonts w:cstheme="minorHAnsi"/>
          <w:sz w:val="21"/>
          <w:szCs w:val="21"/>
        </w:rPr>
      </w:pPr>
    </w:p>
    <w:p w14:paraId="1B4BCFD3"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To the Minister/Secretary/Director of ABC Ministry/Department [or Other Appropriate Addressee]</w:t>
      </w:r>
    </w:p>
    <w:p w14:paraId="467090D1"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6770807C" w14:textId="77777777" w:rsidR="007A73C1" w:rsidRPr="00DC68DB" w:rsidRDefault="007A73C1" w:rsidP="0014559B">
      <w:pPr>
        <w:tabs>
          <w:tab w:val="left" w:pos="7650"/>
          <w:tab w:val="left" w:pos="8100"/>
          <w:tab w:val="left" w:pos="9180"/>
        </w:tabs>
        <w:jc w:val="both"/>
        <w:rPr>
          <w:rFonts w:ascii="Aptos" w:eastAsia="Times New Roman" w:hAnsi="Aptos" w:cs="Tahoma"/>
          <w:b/>
          <w:bCs/>
          <w:color w:val="44546A" w:themeColor="text2"/>
          <w:sz w:val="20"/>
          <w:szCs w:val="20"/>
        </w:rPr>
      </w:pPr>
      <w:r w:rsidRPr="00DC68DB">
        <w:rPr>
          <w:rFonts w:ascii="Aptos" w:eastAsia="Times New Roman" w:hAnsi="Aptos" w:cs="Tahoma"/>
          <w:b/>
          <w:bCs/>
          <w:color w:val="44546A" w:themeColor="text2"/>
          <w:sz w:val="20"/>
          <w:szCs w:val="20"/>
        </w:rPr>
        <w:t>Report on the Audit of the Financial Statements</w:t>
      </w:r>
      <w:r w:rsidRPr="00DC68DB">
        <w:rPr>
          <w:rFonts w:ascii="Aptos" w:hAnsi="Aptos" w:cs="Tahoma"/>
          <w:b/>
          <w:bCs/>
          <w:color w:val="44546A" w:themeColor="text2"/>
          <w:sz w:val="20"/>
          <w:szCs w:val="20"/>
        </w:rPr>
        <w:footnoteReference w:id="1"/>
      </w:r>
    </w:p>
    <w:p w14:paraId="61FDF7BA"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67157CE0"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Disclaimer of Opinion</w:t>
      </w:r>
    </w:p>
    <w:p w14:paraId="3E648334"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310A35F6"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We were engaged to audit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6FC4F090"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714DA81D"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We do not express an opinion on the accompanying financial statements of the Ministry. Because of the significance of the matter described in the Basis for Disclaimer of Opinion section of our report, we have not been able to obtain sufficient appropriate audit evidence to provide a basis for an audit opinion on these financial statements.</w:t>
      </w:r>
    </w:p>
    <w:p w14:paraId="4B375EA4"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26368808" w14:textId="77777777" w:rsidR="007A73C1" w:rsidRPr="00DC68DB" w:rsidRDefault="007A73C1" w:rsidP="0014559B">
      <w:pPr>
        <w:tabs>
          <w:tab w:val="left" w:pos="7650"/>
          <w:tab w:val="left" w:pos="8100"/>
          <w:tab w:val="left" w:pos="9180"/>
        </w:tabs>
        <w:jc w:val="both"/>
        <w:rPr>
          <w:rFonts w:ascii="Aptos" w:eastAsia="Times New Roman" w:hAnsi="Aptos" w:cs="Tahoma"/>
          <w:b/>
          <w:bCs/>
          <w:color w:val="44546A" w:themeColor="text2"/>
          <w:sz w:val="20"/>
          <w:szCs w:val="20"/>
        </w:rPr>
      </w:pPr>
      <w:r w:rsidRPr="00DC68DB">
        <w:rPr>
          <w:rFonts w:ascii="Aptos" w:eastAsia="Times New Roman" w:hAnsi="Aptos" w:cs="Tahoma"/>
          <w:b/>
          <w:bCs/>
          <w:color w:val="44546A" w:themeColor="text2"/>
          <w:sz w:val="20"/>
          <w:szCs w:val="20"/>
        </w:rPr>
        <w:t>Basis for Disclaimer of Opinion</w:t>
      </w:r>
    </w:p>
    <w:p w14:paraId="150D5534"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3B8A6B81"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The Ministry has been maintaining its accounting records both manually and in the accounting system. About 70-80% of the accounting records for the year 20X1 were reported to have been destroyed by the recent fire accident in the office. As a result of this, we were unable to perform our audit procedures on financial statements assertions made by the Ministry in its financial statements for the year ended December 31, 20X1.</w:t>
      </w:r>
    </w:p>
    <w:p w14:paraId="484B15DF"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0392D5F8" w14:textId="77777777" w:rsidR="007A73C1" w:rsidRPr="00DC68DB" w:rsidRDefault="007A73C1" w:rsidP="0014559B">
      <w:pPr>
        <w:tabs>
          <w:tab w:val="left" w:pos="7650"/>
          <w:tab w:val="left" w:pos="8100"/>
          <w:tab w:val="left" w:pos="9180"/>
        </w:tabs>
        <w:jc w:val="both"/>
        <w:rPr>
          <w:rFonts w:ascii="Aptos" w:eastAsia="Times New Roman" w:hAnsi="Aptos" w:cs="Tahoma"/>
          <w:b/>
          <w:bCs/>
          <w:color w:val="44546A" w:themeColor="text2"/>
          <w:sz w:val="20"/>
          <w:szCs w:val="20"/>
        </w:rPr>
      </w:pPr>
      <w:r w:rsidRPr="00DC68DB">
        <w:rPr>
          <w:rFonts w:ascii="Aptos" w:eastAsia="Times New Roman" w:hAnsi="Aptos" w:cs="Tahoma"/>
          <w:b/>
          <w:bCs/>
          <w:color w:val="44546A" w:themeColor="text2"/>
          <w:sz w:val="20"/>
          <w:szCs w:val="20"/>
        </w:rPr>
        <w:t>Responsibilities of Management and Those Charged with Governance for the Financial Statements</w:t>
      </w:r>
      <w:r w:rsidRPr="00DC68DB">
        <w:rPr>
          <w:rFonts w:ascii="Aptos" w:hAnsi="Aptos" w:cs="Tahoma"/>
          <w:b/>
          <w:bCs/>
          <w:color w:val="44546A" w:themeColor="text2"/>
          <w:sz w:val="20"/>
          <w:szCs w:val="20"/>
        </w:rPr>
        <w:footnoteReference w:id="2"/>
      </w:r>
    </w:p>
    <w:p w14:paraId="33274949"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05334639"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Management is responsible for the preparation and fair presentation of the financial statements in accordance with IPSASs</w:t>
      </w:r>
      <w:r w:rsidRPr="00DC68DB">
        <w:rPr>
          <w:rFonts w:ascii="Aptos" w:hAnsi="Aptos" w:cs="Tahoma"/>
          <w:color w:val="44546A" w:themeColor="text2"/>
          <w:sz w:val="20"/>
          <w:szCs w:val="20"/>
        </w:rPr>
        <w:footnoteReference w:id="3"/>
      </w:r>
      <w:r w:rsidRPr="00DC68DB">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1B199DE0"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40CA5173"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 (only if relevant to an audit of government ministry).</w:t>
      </w:r>
    </w:p>
    <w:p w14:paraId="2CA36FA9"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14FF79CB"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Those charged with governance are responsible for overseeing the Ministry’s financial reporting process.</w:t>
      </w:r>
    </w:p>
    <w:p w14:paraId="27F01A98"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4138F563" w14:textId="77777777" w:rsidR="007A73C1" w:rsidRPr="00DC68DB" w:rsidRDefault="007A73C1" w:rsidP="0014559B">
      <w:pPr>
        <w:tabs>
          <w:tab w:val="left" w:pos="7650"/>
          <w:tab w:val="left" w:pos="8100"/>
          <w:tab w:val="left" w:pos="9180"/>
        </w:tabs>
        <w:jc w:val="both"/>
        <w:rPr>
          <w:rFonts w:ascii="Aptos" w:eastAsia="Times New Roman" w:hAnsi="Aptos" w:cs="Tahoma"/>
          <w:b/>
          <w:bCs/>
          <w:color w:val="44546A" w:themeColor="text2"/>
          <w:sz w:val="20"/>
          <w:szCs w:val="20"/>
        </w:rPr>
      </w:pPr>
      <w:r w:rsidRPr="00DC68DB">
        <w:rPr>
          <w:rFonts w:ascii="Aptos" w:eastAsia="Times New Roman" w:hAnsi="Aptos" w:cs="Tahoma"/>
          <w:b/>
          <w:bCs/>
          <w:color w:val="44546A" w:themeColor="text2"/>
          <w:sz w:val="20"/>
          <w:szCs w:val="20"/>
        </w:rPr>
        <w:t>Auditor’s Responsibilities for the Audit of the Financial Statements</w:t>
      </w:r>
    </w:p>
    <w:p w14:paraId="412AAB56"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p>
    <w:p w14:paraId="1CFBC9F3" w14:textId="77777777" w:rsidR="007A73C1" w:rsidRPr="00DC68DB" w:rsidRDefault="007A73C1" w:rsidP="0014559B">
      <w:pPr>
        <w:tabs>
          <w:tab w:val="left" w:pos="7650"/>
          <w:tab w:val="left" w:pos="8100"/>
          <w:tab w:val="left" w:pos="9180"/>
        </w:tabs>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Our responsibility is to conduct an audit of the Ministry’s financial statements in accordance with International Standards on Auditing and to issue an auditor’s report. However, because of the matter described in the Basis for Disclaimer of Opinion section of our report, we were not able to obtain sufficient appropriate audit evidence to provide a basis for an audit opinion on these financial statements.</w:t>
      </w:r>
    </w:p>
    <w:p w14:paraId="027F429A" w14:textId="77777777" w:rsidR="007A73C1" w:rsidRPr="00DC68DB" w:rsidRDefault="007A73C1" w:rsidP="00DC68DB">
      <w:pPr>
        <w:ind w:right="1075"/>
        <w:jc w:val="both"/>
        <w:rPr>
          <w:rFonts w:ascii="Aptos" w:eastAsia="Times New Roman" w:hAnsi="Aptos" w:cs="Tahoma"/>
          <w:color w:val="44546A" w:themeColor="text2"/>
          <w:sz w:val="20"/>
          <w:szCs w:val="20"/>
        </w:rPr>
      </w:pPr>
    </w:p>
    <w:p w14:paraId="672AC0D2" w14:textId="77777777" w:rsidR="007A73C1" w:rsidRPr="00DC68DB" w:rsidRDefault="007A73C1" w:rsidP="0014559B">
      <w:pPr>
        <w:ind w:right="90"/>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lastRenderedPageBreak/>
        <w:t>We are independent of the Ministry in accordance with the ethical requirements that are relevant to our audit of the financial statements in [jurisdiction], and we have fulfilled our other ethical responsibilities in accordance with these requirements.</w:t>
      </w:r>
    </w:p>
    <w:p w14:paraId="6E341EF1" w14:textId="77777777" w:rsidR="007A73C1" w:rsidRPr="00DC68DB" w:rsidRDefault="007A73C1" w:rsidP="007A73C1">
      <w:pPr>
        <w:spacing w:line="250" w:lineRule="auto"/>
        <w:ind w:right="64"/>
        <w:jc w:val="both"/>
        <w:rPr>
          <w:rFonts w:eastAsia="Times New Roman" w:cstheme="minorHAnsi"/>
          <w:b/>
          <w:bCs/>
          <w:sz w:val="21"/>
          <w:szCs w:val="21"/>
        </w:rPr>
      </w:pPr>
    </w:p>
    <w:p w14:paraId="6093EE8C" w14:textId="77777777" w:rsidR="007A73C1" w:rsidRPr="00DC68DB" w:rsidRDefault="007A73C1" w:rsidP="007A73C1">
      <w:pPr>
        <w:ind w:right="1433"/>
        <w:jc w:val="both"/>
        <w:rPr>
          <w:rFonts w:ascii="Aptos" w:eastAsia="Times New Roman" w:hAnsi="Aptos" w:cs="Tahoma"/>
          <w:b/>
          <w:bCs/>
          <w:color w:val="44546A" w:themeColor="text2"/>
          <w:sz w:val="20"/>
          <w:szCs w:val="20"/>
        </w:rPr>
      </w:pPr>
      <w:r w:rsidRPr="00DC68DB">
        <w:rPr>
          <w:rFonts w:ascii="Aptos" w:eastAsia="Times New Roman" w:hAnsi="Aptos" w:cs="Tahoma"/>
          <w:b/>
          <w:bCs/>
          <w:color w:val="44546A" w:themeColor="text2"/>
          <w:sz w:val="20"/>
          <w:szCs w:val="20"/>
        </w:rPr>
        <w:t>Report on Other Legal and Regulatory Requirements</w:t>
      </w:r>
    </w:p>
    <w:p w14:paraId="26335963" w14:textId="77777777" w:rsidR="007A73C1" w:rsidRPr="00DC68DB" w:rsidRDefault="007A73C1" w:rsidP="007A73C1">
      <w:pPr>
        <w:spacing w:before="1" w:line="120" w:lineRule="exact"/>
        <w:rPr>
          <w:rFonts w:ascii="Aptos" w:eastAsia="Times New Roman" w:hAnsi="Aptos" w:cs="Tahoma"/>
          <w:color w:val="44546A" w:themeColor="text2"/>
          <w:sz w:val="20"/>
          <w:szCs w:val="20"/>
        </w:rPr>
      </w:pPr>
    </w:p>
    <w:p w14:paraId="1AF8ED5B" w14:textId="77777777" w:rsidR="007A73C1" w:rsidRPr="00DC68DB" w:rsidRDefault="007A73C1" w:rsidP="007A73C1">
      <w:pPr>
        <w:spacing w:line="250" w:lineRule="auto"/>
        <w:ind w:right="80"/>
        <w:jc w:val="both"/>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5AB66CFC" w14:textId="77777777" w:rsidR="007A73C1" w:rsidRPr="00DC68DB" w:rsidRDefault="007A73C1" w:rsidP="007A73C1">
      <w:pPr>
        <w:spacing w:line="120" w:lineRule="exact"/>
        <w:rPr>
          <w:rFonts w:ascii="Aptos" w:eastAsia="Times New Roman" w:hAnsi="Aptos" w:cs="Tahoma"/>
          <w:color w:val="44546A" w:themeColor="text2"/>
          <w:sz w:val="20"/>
          <w:szCs w:val="20"/>
        </w:rPr>
      </w:pPr>
    </w:p>
    <w:p w14:paraId="237FF0D7" w14:textId="77777777" w:rsidR="007A73C1" w:rsidRPr="00DC68DB" w:rsidRDefault="007A73C1" w:rsidP="007A73C1">
      <w:pPr>
        <w:spacing w:before="10" w:line="120" w:lineRule="exact"/>
        <w:rPr>
          <w:rFonts w:ascii="Aptos" w:eastAsia="Times New Roman" w:hAnsi="Aptos" w:cs="Tahoma"/>
          <w:color w:val="44546A" w:themeColor="text2"/>
          <w:sz w:val="20"/>
          <w:szCs w:val="20"/>
        </w:rPr>
      </w:pPr>
    </w:p>
    <w:p w14:paraId="7E473427" w14:textId="77777777" w:rsidR="007A73C1" w:rsidRPr="00DC68DB" w:rsidRDefault="007A73C1" w:rsidP="007A73C1">
      <w:pPr>
        <w:spacing w:line="250" w:lineRule="auto"/>
        <w:ind w:right="81"/>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0CA8CA63" w14:textId="77777777" w:rsidR="007A73C1" w:rsidRPr="00DC68DB" w:rsidRDefault="007A73C1" w:rsidP="007A73C1">
      <w:pPr>
        <w:spacing w:line="120" w:lineRule="exact"/>
        <w:rPr>
          <w:rFonts w:ascii="Aptos" w:eastAsia="Times New Roman" w:hAnsi="Aptos" w:cs="Tahoma"/>
          <w:color w:val="44546A" w:themeColor="text2"/>
          <w:sz w:val="20"/>
          <w:szCs w:val="20"/>
        </w:rPr>
      </w:pPr>
    </w:p>
    <w:p w14:paraId="4268E226" w14:textId="77777777" w:rsidR="007A73C1" w:rsidRPr="00DC68DB" w:rsidRDefault="007A73C1" w:rsidP="007A73C1">
      <w:pPr>
        <w:spacing w:line="375" w:lineRule="auto"/>
        <w:ind w:right="5489"/>
        <w:rPr>
          <w:rFonts w:ascii="Aptos" w:eastAsia="Times New Roman" w:hAnsi="Aptos" w:cs="Tahoma"/>
          <w:color w:val="44546A" w:themeColor="text2"/>
          <w:sz w:val="20"/>
          <w:szCs w:val="20"/>
        </w:rPr>
      </w:pPr>
      <w:r w:rsidRPr="00DC68DB">
        <w:rPr>
          <w:rFonts w:ascii="Aptos" w:eastAsia="Times New Roman" w:hAnsi="Aptos" w:cs="Tahoma"/>
          <w:color w:val="44546A" w:themeColor="text2"/>
          <w:sz w:val="20"/>
          <w:szCs w:val="20"/>
        </w:rPr>
        <w:t>[SAI Address] [Date]</w:t>
      </w:r>
    </w:p>
    <w:p w14:paraId="4CB8AFC2" w14:textId="77777777" w:rsidR="00F20015" w:rsidRDefault="00F20015"/>
    <w:sectPr w:rsidR="00F20015" w:rsidSect="0014559B">
      <w:headerReference w:type="default" r:id="rId12"/>
      <w:pgSz w:w="11906" w:h="16838"/>
      <w:pgMar w:top="1440" w:right="128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E05F6" w14:textId="77777777" w:rsidR="000A1D1F" w:rsidRDefault="000A1D1F" w:rsidP="007A73C1">
      <w:r>
        <w:separator/>
      </w:r>
    </w:p>
  </w:endnote>
  <w:endnote w:type="continuationSeparator" w:id="0">
    <w:p w14:paraId="3A523A64" w14:textId="77777777" w:rsidR="000A1D1F" w:rsidRDefault="000A1D1F" w:rsidP="007A7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4D"/>
    <w:family w:val="auto"/>
    <w:pitch w:val="variable"/>
    <w:sig w:usb0="A00002FF" w:usb1="4000204B" w:usb2="00000000" w:usb3="00000000" w:csb0="00000197" w:csb1="00000000"/>
  </w:font>
  <w:font w:name="Arial Narrow">
    <w:panose1 w:val="020B05060202020A0204"/>
    <w:charset w:val="00"/>
    <w:family w:val="swiss"/>
    <w:pitch w:val="variable"/>
    <w:sig w:usb0="00000287" w:usb1="00000800" w:usb2="00000000" w:usb3="00000000" w:csb0="0000009F"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12AC8A16" w14:textId="5B625B62" w:rsidR="007A73C1" w:rsidRPr="0014559B" w:rsidRDefault="00611A4F" w:rsidP="0014559B">
        <w:pPr>
          <w:pStyle w:val="Footer"/>
          <w:jc w:val="right"/>
          <w:rPr>
            <w:rFonts w:ascii="Oswald" w:hAnsi="Oswald"/>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8.7</w:t>
        </w:r>
        <w:r w:rsidR="00DC68DB">
          <w:rPr>
            <w:rStyle w:val="PageNumber"/>
            <w:rFonts w:ascii="Oswald" w:hAnsi="Oswald"/>
            <w:sz w:val="21"/>
            <w:szCs w:val="21"/>
          </w:rPr>
          <w:t xml:space="preserve"> </w:t>
        </w:r>
        <w:r w:rsidR="00DC68DB" w:rsidRPr="002745DB">
          <w:rPr>
            <w:rStyle w:val="PageNumber"/>
            <w:rFonts w:ascii="Oswald" w:hAnsi="Oswald"/>
            <w:color w:val="000000" w:themeColor="text1"/>
            <w:sz w:val="21"/>
            <w:szCs w:val="21"/>
          </w:rPr>
          <w:t xml:space="preserve">| </w:t>
        </w:r>
        <w:r w:rsidR="00DC68DB" w:rsidRPr="002745DB">
          <w:rPr>
            <w:rStyle w:val="PageNumber"/>
            <w:rFonts w:ascii="Oswald" w:hAnsi="Oswald"/>
            <w:b/>
            <w:bCs/>
            <w:color w:val="000000" w:themeColor="text1"/>
            <w:sz w:val="21"/>
            <w:szCs w:val="21"/>
          </w:rPr>
          <w:fldChar w:fldCharType="begin"/>
        </w:r>
        <w:r w:rsidR="00DC68DB" w:rsidRPr="002745DB">
          <w:rPr>
            <w:rStyle w:val="PageNumber"/>
            <w:rFonts w:ascii="Oswald" w:hAnsi="Oswald"/>
            <w:color w:val="000000" w:themeColor="text1"/>
            <w:sz w:val="21"/>
            <w:szCs w:val="21"/>
          </w:rPr>
          <w:instrText xml:space="preserve"> PAGE </w:instrText>
        </w:r>
        <w:r w:rsidR="00DC68DB" w:rsidRPr="002745DB">
          <w:rPr>
            <w:rStyle w:val="PageNumber"/>
            <w:rFonts w:ascii="Oswald" w:hAnsi="Oswald"/>
            <w:b/>
            <w:bCs/>
            <w:color w:val="000000" w:themeColor="text1"/>
            <w:sz w:val="21"/>
            <w:szCs w:val="21"/>
          </w:rPr>
          <w:fldChar w:fldCharType="separate"/>
        </w:r>
        <w:r w:rsidR="00DC68DB">
          <w:rPr>
            <w:rStyle w:val="PageNumber"/>
            <w:rFonts w:ascii="Oswald" w:hAnsi="Oswald"/>
            <w:b/>
            <w:bCs/>
            <w:color w:val="000000" w:themeColor="text1"/>
            <w:sz w:val="21"/>
            <w:szCs w:val="21"/>
          </w:rPr>
          <w:t>1</w:t>
        </w:r>
        <w:r w:rsidR="00DC68DB" w:rsidRPr="002745DB">
          <w:rPr>
            <w:rStyle w:val="PageNumber"/>
            <w:rFonts w:ascii="Oswald" w:hAnsi="Oswald"/>
            <w:b/>
            <w:bCs/>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B2807" w14:textId="77777777" w:rsidR="000A1D1F" w:rsidRDefault="000A1D1F" w:rsidP="007A73C1">
      <w:r>
        <w:separator/>
      </w:r>
    </w:p>
  </w:footnote>
  <w:footnote w:type="continuationSeparator" w:id="0">
    <w:p w14:paraId="1B055D7C" w14:textId="77777777" w:rsidR="000A1D1F" w:rsidRDefault="000A1D1F" w:rsidP="007A73C1">
      <w:r>
        <w:continuationSeparator/>
      </w:r>
    </w:p>
  </w:footnote>
  <w:footnote w:id="1">
    <w:p w14:paraId="75AAF560" w14:textId="77777777" w:rsidR="007A73C1" w:rsidRPr="00053CC9" w:rsidRDefault="007A73C1" w:rsidP="007A73C1">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3A946534" w14:textId="77777777" w:rsidR="007A73C1" w:rsidRPr="005C4AB5" w:rsidRDefault="007A73C1" w:rsidP="007A73C1">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these</w:t>
      </w:r>
      <w:r w:rsidRPr="005C4AB5">
        <w:rPr>
          <w:rFonts w:eastAsia="Times New Roman" w:cstheme="minorHAnsi"/>
          <w:sz w:val="18"/>
          <w:szCs w:val="18"/>
        </w:rPr>
        <w:t xml:space="preserv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3">
    <w:p w14:paraId="69FB4325" w14:textId="77777777" w:rsidR="007A73C1" w:rsidRPr="00066E52" w:rsidRDefault="007A73C1" w:rsidP="007A73C1">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CDB67" w14:textId="31D16ED4" w:rsidR="00DC68DB" w:rsidRDefault="00611A4F">
    <w:pPr>
      <w:pStyle w:val="Header"/>
    </w:pPr>
    <w:r>
      <w:rPr>
        <w:noProof/>
      </w:rPr>
      <w:drawing>
        <wp:anchor distT="0" distB="0" distL="114300" distR="114300" simplePos="0" relativeHeight="251665408" behindDoc="1" locked="0" layoutInCell="1" allowOverlap="1" wp14:anchorId="4A957BFA" wp14:editId="5B5FA09C">
          <wp:simplePos x="0" y="0"/>
          <wp:positionH relativeFrom="column">
            <wp:posOffset>5702748</wp:posOffset>
          </wp:positionH>
          <wp:positionV relativeFrom="paragraph">
            <wp:posOffset>-205105</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1D5C584" wp14:editId="2557F0F3">
          <wp:simplePos x="0" y="0"/>
          <wp:positionH relativeFrom="column">
            <wp:posOffset>0</wp:posOffset>
          </wp:positionH>
          <wp:positionV relativeFrom="paragraph">
            <wp:posOffset>0</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0F00E" w14:textId="7CAFCD19" w:rsidR="0014559B" w:rsidRDefault="0014559B">
    <w:pPr>
      <w:pStyle w:val="Header"/>
    </w:pPr>
    <w:r>
      <w:rPr>
        <w:noProof/>
      </w:rPr>
      <w:drawing>
        <wp:anchor distT="0" distB="0" distL="114300" distR="114300" simplePos="0" relativeHeight="251668480" behindDoc="1" locked="0" layoutInCell="1" allowOverlap="1" wp14:anchorId="1AB61271" wp14:editId="7A779CDD">
          <wp:simplePos x="0" y="0"/>
          <wp:positionH relativeFrom="column">
            <wp:posOffset>5627445</wp:posOffset>
          </wp:positionH>
          <wp:positionV relativeFrom="paragraph">
            <wp:posOffset>-463288</wp:posOffset>
          </wp:positionV>
          <wp:extent cx="1041400" cy="1125631"/>
          <wp:effectExtent l="0" t="0" r="0" b="0"/>
          <wp:wrapNone/>
          <wp:docPr id="1561343433"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31EEF203" wp14:editId="2A72A737">
          <wp:simplePos x="0" y="0"/>
          <wp:positionH relativeFrom="column">
            <wp:posOffset>0</wp:posOffset>
          </wp:positionH>
          <wp:positionV relativeFrom="paragraph">
            <wp:posOffset>-202153</wp:posOffset>
          </wp:positionV>
          <wp:extent cx="1333948" cy="623426"/>
          <wp:effectExtent l="0" t="0" r="0" b="0"/>
          <wp:wrapNone/>
          <wp:docPr id="39973754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343559" cy="62791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01A0D"/>
    <w:multiLevelType w:val="hybridMultilevel"/>
    <w:tmpl w:val="6E4CCAF8"/>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68833519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3C1"/>
    <w:rsid w:val="000A1D1F"/>
    <w:rsid w:val="0014559B"/>
    <w:rsid w:val="002C3C62"/>
    <w:rsid w:val="0031034B"/>
    <w:rsid w:val="00392291"/>
    <w:rsid w:val="004447D0"/>
    <w:rsid w:val="00611A4F"/>
    <w:rsid w:val="00617D99"/>
    <w:rsid w:val="00636DBA"/>
    <w:rsid w:val="007A73C1"/>
    <w:rsid w:val="00913EFE"/>
    <w:rsid w:val="00943C43"/>
    <w:rsid w:val="00B87E16"/>
    <w:rsid w:val="00CB06B1"/>
    <w:rsid w:val="00D44FF2"/>
    <w:rsid w:val="00DC68DB"/>
    <w:rsid w:val="00F20015"/>
    <w:rsid w:val="00FE6BE7"/>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4DF7"/>
  <w15:chartTrackingRefBased/>
  <w15:docId w15:val="{CEA4F33A-3DEA-4472-AF83-F687B55B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3C1"/>
    <w:pPr>
      <w:spacing w:after="0" w:line="240" w:lineRule="auto"/>
    </w:pPr>
    <w:rPr>
      <w:sz w:val="24"/>
      <w:szCs w:val="24"/>
    </w:rPr>
  </w:style>
  <w:style w:type="paragraph" w:styleId="Heading1">
    <w:name w:val="heading 1"/>
    <w:basedOn w:val="Normal"/>
    <w:next w:val="Normal"/>
    <w:link w:val="Heading1Char"/>
    <w:uiPriority w:val="9"/>
    <w:qFormat/>
    <w:rsid w:val="007A73C1"/>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7A73C1"/>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7A73C1"/>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7A73C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A73C1"/>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A73C1"/>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3C1"/>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7A73C1"/>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7A73C1"/>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7A73C1"/>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7A73C1"/>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7A73C1"/>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7A73C1"/>
    <w:pPr>
      <w:tabs>
        <w:tab w:val="center" w:pos="4680"/>
        <w:tab w:val="right" w:pos="9360"/>
      </w:tabs>
    </w:pPr>
  </w:style>
  <w:style w:type="character" w:customStyle="1" w:styleId="HeaderChar">
    <w:name w:val="Header Char"/>
    <w:basedOn w:val="DefaultParagraphFont"/>
    <w:link w:val="Header"/>
    <w:uiPriority w:val="99"/>
    <w:rsid w:val="007A73C1"/>
    <w:rPr>
      <w:sz w:val="24"/>
      <w:szCs w:val="24"/>
    </w:rPr>
  </w:style>
  <w:style w:type="paragraph" w:styleId="Footer">
    <w:name w:val="footer"/>
    <w:basedOn w:val="Normal"/>
    <w:link w:val="FooterChar"/>
    <w:uiPriority w:val="99"/>
    <w:unhideWhenUsed/>
    <w:rsid w:val="007A73C1"/>
    <w:pPr>
      <w:tabs>
        <w:tab w:val="center" w:pos="4680"/>
        <w:tab w:val="right" w:pos="9360"/>
      </w:tabs>
    </w:pPr>
  </w:style>
  <w:style w:type="character" w:customStyle="1" w:styleId="FooterChar">
    <w:name w:val="Footer Char"/>
    <w:basedOn w:val="DefaultParagraphFont"/>
    <w:link w:val="Footer"/>
    <w:uiPriority w:val="99"/>
    <w:rsid w:val="007A73C1"/>
    <w:rPr>
      <w:sz w:val="24"/>
      <w:szCs w:val="24"/>
    </w:rPr>
  </w:style>
  <w:style w:type="character" w:styleId="PageNumber">
    <w:name w:val="page number"/>
    <w:basedOn w:val="DefaultParagraphFont"/>
    <w:uiPriority w:val="99"/>
    <w:semiHidden/>
    <w:unhideWhenUsed/>
    <w:rsid w:val="007A73C1"/>
  </w:style>
  <w:style w:type="paragraph" w:styleId="Title">
    <w:name w:val="Title"/>
    <w:basedOn w:val="Normal"/>
    <w:next w:val="Normal"/>
    <w:link w:val="TitleChar"/>
    <w:uiPriority w:val="10"/>
    <w:qFormat/>
    <w:rsid w:val="007A73C1"/>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7A73C1"/>
    <w:rPr>
      <w:rFonts w:eastAsiaTheme="majorEastAsia" w:cstheme="majorBidi"/>
      <w:b/>
      <w:color w:val="000000" w:themeColor="text1"/>
      <w:spacing w:val="-10"/>
      <w:kern w:val="28"/>
      <w:sz w:val="52"/>
      <w:szCs w:val="56"/>
    </w:rPr>
  </w:style>
  <w:style w:type="table" w:styleId="TableGrid">
    <w:name w:val="Table Grid"/>
    <w:basedOn w:val="TableNormal"/>
    <w:uiPriority w:val="39"/>
    <w:rsid w:val="007A73C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A73C1"/>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7A73C1"/>
    <w:rPr>
      <w:rFonts w:eastAsiaTheme="minorEastAsia"/>
      <w:color w:val="5A5A5A" w:themeColor="text1" w:themeTint="A5"/>
      <w:spacing w:val="15"/>
    </w:rPr>
  </w:style>
  <w:style w:type="character" w:styleId="SubtleEmphasis">
    <w:name w:val="Subtle Emphasis"/>
    <w:basedOn w:val="DefaultParagraphFont"/>
    <w:uiPriority w:val="19"/>
    <w:qFormat/>
    <w:rsid w:val="007A73C1"/>
    <w:rPr>
      <w:i/>
      <w:iCs/>
      <w:color w:val="404040" w:themeColor="text1" w:themeTint="BF"/>
    </w:rPr>
  </w:style>
  <w:style w:type="character" w:styleId="Emphasis">
    <w:name w:val="Emphasis"/>
    <w:basedOn w:val="DefaultParagraphFont"/>
    <w:uiPriority w:val="20"/>
    <w:qFormat/>
    <w:rsid w:val="007A73C1"/>
    <w:rPr>
      <w:i/>
      <w:iCs/>
    </w:rPr>
  </w:style>
  <w:style w:type="character" w:styleId="IntenseEmphasis">
    <w:name w:val="Intense Emphasis"/>
    <w:basedOn w:val="DefaultParagraphFont"/>
    <w:uiPriority w:val="21"/>
    <w:qFormat/>
    <w:rsid w:val="007A73C1"/>
    <w:rPr>
      <w:i/>
      <w:iCs/>
      <w:color w:val="4472C4" w:themeColor="accent1"/>
    </w:rPr>
  </w:style>
  <w:style w:type="character" w:styleId="Strong">
    <w:name w:val="Strong"/>
    <w:basedOn w:val="DefaultParagraphFont"/>
    <w:uiPriority w:val="22"/>
    <w:qFormat/>
    <w:rsid w:val="007A73C1"/>
    <w:rPr>
      <w:b/>
      <w:bCs/>
    </w:rPr>
  </w:style>
  <w:style w:type="paragraph" w:styleId="IntenseQuote">
    <w:name w:val="Intense Quote"/>
    <w:basedOn w:val="Normal"/>
    <w:next w:val="Normal"/>
    <w:link w:val="IntenseQuoteChar"/>
    <w:uiPriority w:val="30"/>
    <w:qFormat/>
    <w:rsid w:val="007A73C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A73C1"/>
    <w:rPr>
      <w:i/>
      <w:iCs/>
      <w:color w:val="4472C4" w:themeColor="accent1"/>
      <w:sz w:val="24"/>
      <w:szCs w:val="24"/>
    </w:rPr>
  </w:style>
  <w:style w:type="paragraph" w:styleId="Quote">
    <w:name w:val="Quote"/>
    <w:basedOn w:val="Normal"/>
    <w:next w:val="Normal"/>
    <w:link w:val="QuoteChar"/>
    <w:uiPriority w:val="29"/>
    <w:qFormat/>
    <w:rsid w:val="007A73C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A73C1"/>
    <w:rPr>
      <w:i/>
      <w:iCs/>
      <w:color w:val="404040" w:themeColor="text1" w:themeTint="BF"/>
      <w:sz w:val="24"/>
      <w:szCs w:val="24"/>
    </w:rPr>
  </w:style>
  <w:style w:type="character" w:styleId="IntenseReference">
    <w:name w:val="Intense Reference"/>
    <w:basedOn w:val="DefaultParagraphFont"/>
    <w:uiPriority w:val="32"/>
    <w:qFormat/>
    <w:rsid w:val="007A73C1"/>
    <w:rPr>
      <w:b/>
      <w:bCs/>
      <w:smallCaps/>
      <w:color w:val="4472C4" w:themeColor="accent1"/>
      <w:spacing w:val="5"/>
    </w:rPr>
  </w:style>
  <w:style w:type="character" w:styleId="SubtleReference">
    <w:name w:val="Subtle Reference"/>
    <w:basedOn w:val="DefaultParagraphFont"/>
    <w:uiPriority w:val="31"/>
    <w:qFormat/>
    <w:rsid w:val="007A73C1"/>
    <w:rPr>
      <w:smallCaps/>
      <w:color w:val="5A5A5A" w:themeColor="text1" w:themeTint="A5"/>
    </w:rPr>
  </w:style>
  <w:style w:type="paragraph" w:styleId="ListParagraph">
    <w:name w:val="List Paragraph"/>
    <w:basedOn w:val="Normal"/>
    <w:uiPriority w:val="34"/>
    <w:qFormat/>
    <w:rsid w:val="007A73C1"/>
    <w:pPr>
      <w:ind w:left="720"/>
      <w:contextualSpacing/>
    </w:pPr>
  </w:style>
  <w:style w:type="paragraph" w:styleId="FootnoteText">
    <w:name w:val="footnote text"/>
    <w:basedOn w:val="Normal"/>
    <w:link w:val="FootnoteTextChar"/>
    <w:uiPriority w:val="99"/>
    <w:unhideWhenUsed/>
    <w:rsid w:val="007A73C1"/>
  </w:style>
  <w:style w:type="character" w:customStyle="1" w:styleId="FootnoteTextChar">
    <w:name w:val="Footnote Text Char"/>
    <w:basedOn w:val="DefaultParagraphFont"/>
    <w:link w:val="FootnoteText"/>
    <w:uiPriority w:val="99"/>
    <w:rsid w:val="007A73C1"/>
    <w:rPr>
      <w:sz w:val="24"/>
      <w:szCs w:val="24"/>
    </w:rPr>
  </w:style>
  <w:style w:type="character" w:styleId="FootnoteReference">
    <w:name w:val="footnote reference"/>
    <w:basedOn w:val="DefaultParagraphFont"/>
    <w:uiPriority w:val="99"/>
    <w:unhideWhenUsed/>
    <w:rsid w:val="007A73C1"/>
    <w:rPr>
      <w:vertAlign w:val="superscript"/>
    </w:rPr>
  </w:style>
  <w:style w:type="paragraph" w:customStyle="1" w:styleId="Normal1">
    <w:name w:val="Normal1"/>
    <w:rsid w:val="007A73C1"/>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7A73C1"/>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7A73C1"/>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7A73C1"/>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7A73C1"/>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7A73C1"/>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7A73C1"/>
    <w:rPr>
      <w:color w:val="0563C1" w:themeColor="hyperlink"/>
      <w:u w:val="single"/>
    </w:rPr>
  </w:style>
  <w:style w:type="table" w:customStyle="1" w:styleId="LightShading-Accent11">
    <w:name w:val="Light Shading - Accent 11"/>
    <w:basedOn w:val="TableNormal"/>
    <w:uiPriority w:val="60"/>
    <w:rsid w:val="007A73C1"/>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7A73C1"/>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7A73C1"/>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7A73C1"/>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7A73C1"/>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7A73C1"/>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7A73C1"/>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7A73C1"/>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7A73C1"/>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7A73C1"/>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7A73C1"/>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7A73C1"/>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7A73C1"/>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7A73C1"/>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7A73C1"/>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7A73C1"/>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7A73C1"/>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7A73C1"/>
    <w:rPr>
      <w:rFonts w:ascii="Segoe UI" w:hAnsi="Segoe UI" w:cs="Segoe UI"/>
      <w:sz w:val="18"/>
      <w:szCs w:val="18"/>
    </w:rPr>
  </w:style>
  <w:style w:type="character" w:customStyle="1" w:styleId="CommentTextChar">
    <w:name w:val="Comment Text Char"/>
    <w:basedOn w:val="DefaultParagraphFont"/>
    <w:link w:val="CommentText"/>
    <w:uiPriority w:val="99"/>
    <w:semiHidden/>
    <w:rsid w:val="007A73C1"/>
    <w:rPr>
      <w:rFonts w:eastAsiaTheme="minorEastAsia"/>
      <w:sz w:val="20"/>
      <w:szCs w:val="20"/>
    </w:rPr>
  </w:style>
  <w:style w:type="paragraph" w:styleId="CommentText">
    <w:name w:val="annotation text"/>
    <w:basedOn w:val="Normal"/>
    <w:link w:val="CommentTextChar"/>
    <w:uiPriority w:val="99"/>
    <w:semiHidden/>
    <w:unhideWhenUsed/>
    <w:rsid w:val="007A73C1"/>
    <w:rPr>
      <w:rFonts w:eastAsiaTheme="minorEastAsia"/>
      <w:sz w:val="20"/>
      <w:szCs w:val="20"/>
    </w:rPr>
  </w:style>
  <w:style w:type="character" w:customStyle="1" w:styleId="CommentTextChar1">
    <w:name w:val="Comment Text Char1"/>
    <w:basedOn w:val="DefaultParagraphFont"/>
    <w:uiPriority w:val="99"/>
    <w:semiHidden/>
    <w:rsid w:val="007A73C1"/>
    <w:rPr>
      <w:sz w:val="20"/>
      <w:szCs w:val="20"/>
    </w:rPr>
  </w:style>
  <w:style w:type="character" w:customStyle="1" w:styleId="CommentSubjectChar">
    <w:name w:val="Comment Subject Char"/>
    <w:basedOn w:val="CommentTextChar"/>
    <w:link w:val="CommentSubject"/>
    <w:uiPriority w:val="99"/>
    <w:semiHidden/>
    <w:rsid w:val="007A73C1"/>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7A73C1"/>
    <w:rPr>
      <w:b/>
      <w:bCs/>
    </w:rPr>
  </w:style>
  <w:style w:type="character" w:customStyle="1" w:styleId="CommentSubjectChar1">
    <w:name w:val="Comment Subject Char1"/>
    <w:basedOn w:val="CommentTextChar1"/>
    <w:uiPriority w:val="99"/>
    <w:semiHidden/>
    <w:rsid w:val="007A73C1"/>
    <w:rPr>
      <w:b/>
      <w:bCs/>
      <w:sz w:val="20"/>
      <w:szCs w:val="20"/>
    </w:rPr>
  </w:style>
  <w:style w:type="table" w:styleId="LightShading">
    <w:name w:val="Light Shading"/>
    <w:basedOn w:val="TableNormal"/>
    <w:uiPriority w:val="60"/>
    <w:rsid w:val="007A73C1"/>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7A73C1"/>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7A73C1"/>
    <w:pPr>
      <w:spacing w:before="240"/>
    </w:pPr>
    <w:rPr>
      <w:rFonts w:ascii="Times New Roman" w:eastAsia="Times New Roman" w:hAnsi="Times New Roman" w:cs="Times New Roman"/>
      <w:szCs w:val="20"/>
    </w:rPr>
  </w:style>
  <w:style w:type="character" w:customStyle="1" w:styleId="BlockChar">
    <w:name w:val="Block Char"/>
    <w:link w:val="Block"/>
    <w:rsid w:val="007A73C1"/>
    <w:rPr>
      <w:rFonts w:ascii="Times New Roman" w:eastAsia="Times New Roman" w:hAnsi="Times New Roman" w:cs="Times New Roman"/>
      <w:sz w:val="24"/>
      <w:szCs w:val="20"/>
    </w:rPr>
  </w:style>
  <w:style w:type="paragraph" w:customStyle="1" w:styleId="Bullet1">
    <w:name w:val="Bullet 1"/>
    <w:rsid w:val="007A73C1"/>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7A73C1"/>
    <w:pPr>
      <w:ind w:left="720"/>
    </w:pPr>
    <w:rPr>
      <w:sz w:val="20"/>
      <w:szCs w:val="20"/>
    </w:rPr>
  </w:style>
  <w:style w:type="paragraph" w:styleId="TOC5">
    <w:name w:val="toc 5"/>
    <w:basedOn w:val="Normal"/>
    <w:next w:val="Normal"/>
    <w:autoRedefine/>
    <w:uiPriority w:val="39"/>
    <w:unhideWhenUsed/>
    <w:rsid w:val="007A73C1"/>
    <w:pPr>
      <w:ind w:left="960"/>
    </w:pPr>
    <w:rPr>
      <w:sz w:val="20"/>
      <w:szCs w:val="20"/>
    </w:rPr>
  </w:style>
  <w:style w:type="paragraph" w:styleId="TOC6">
    <w:name w:val="toc 6"/>
    <w:basedOn w:val="Normal"/>
    <w:next w:val="Normal"/>
    <w:autoRedefine/>
    <w:uiPriority w:val="39"/>
    <w:unhideWhenUsed/>
    <w:rsid w:val="007A73C1"/>
    <w:pPr>
      <w:ind w:left="1200"/>
    </w:pPr>
    <w:rPr>
      <w:sz w:val="20"/>
      <w:szCs w:val="20"/>
    </w:rPr>
  </w:style>
  <w:style w:type="paragraph" w:styleId="TOC7">
    <w:name w:val="toc 7"/>
    <w:basedOn w:val="Normal"/>
    <w:next w:val="Normal"/>
    <w:autoRedefine/>
    <w:uiPriority w:val="39"/>
    <w:unhideWhenUsed/>
    <w:rsid w:val="007A73C1"/>
    <w:pPr>
      <w:ind w:left="1440"/>
    </w:pPr>
    <w:rPr>
      <w:sz w:val="20"/>
      <w:szCs w:val="20"/>
    </w:rPr>
  </w:style>
  <w:style w:type="paragraph" w:styleId="TOC8">
    <w:name w:val="toc 8"/>
    <w:basedOn w:val="Normal"/>
    <w:next w:val="Normal"/>
    <w:autoRedefine/>
    <w:uiPriority w:val="39"/>
    <w:unhideWhenUsed/>
    <w:rsid w:val="007A73C1"/>
    <w:pPr>
      <w:ind w:left="1680"/>
    </w:pPr>
    <w:rPr>
      <w:sz w:val="20"/>
      <w:szCs w:val="20"/>
    </w:rPr>
  </w:style>
  <w:style w:type="paragraph" w:styleId="TOC9">
    <w:name w:val="toc 9"/>
    <w:basedOn w:val="Normal"/>
    <w:next w:val="Normal"/>
    <w:autoRedefine/>
    <w:uiPriority w:val="39"/>
    <w:unhideWhenUsed/>
    <w:rsid w:val="007A73C1"/>
    <w:pPr>
      <w:ind w:left="1920"/>
    </w:pPr>
    <w:rPr>
      <w:sz w:val="20"/>
      <w:szCs w:val="20"/>
    </w:rPr>
  </w:style>
  <w:style w:type="character" w:styleId="CommentReference">
    <w:name w:val="annotation reference"/>
    <w:basedOn w:val="DefaultParagraphFont"/>
    <w:uiPriority w:val="99"/>
    <w:semiHidden/>
    <w:unhideWhenUsed/>
    <w:rsid w:val="007A73C1"/>
    <w:rPr>
      <w:sz w:val="16"/>
      <w:szCs w:val="16"/>
    </w:rPr>
  </w:style>
  <w:style w:type="table" w:styleId="GridTable1Light-Accent3">
    <w:name w:val="Grid Table 1 Light Accent 3"/>
    <w:basedOn w:val="TableNormal"/>
    <w:uiPriority w:val="46"/>
    <w:rsid w:val="007A73C1"/>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7A73C1"/>
    <w:rPr>
      <w:color w:val="954F72" w:themeColor="followedHyperlink"/>
      <w:u w:val="single"/>
    </w:rPr>
  </w:style>
  <w:style w:type="paragraph" w:styleId="Revision">
    <w:name w:val="Revision"/>
    <w:hidden/>
    <w:uiPriority w:val="99"/>
    <w:semiHidden/>
    <w:rsid w:val="007A73C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86A9B8-2C28-4EE2-98E7-4F8D44765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4D27D7-C125-4D7F-8F5A-B9CD24157BCD}">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F54AE161-47AB-4251-B6C0-88239D68C7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804</Words>
  <Characters>4927</Characters>
  <Application>Microsoft Office Word</Application>
  <DocSecurity>0</DocSecurity>
  <Lines>140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7</cp:revision>
  <dcterms:created xsi:type="dcterms:W3CDTF">2018-12-06T04:46:00Z</dcterms:created>
  <dcterms:modified xsi:type="dcterms:W3CDTF">2026-01-23T09:04:00Z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